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numPr>
          <w:ilvl w:val="0"/>
          <w:numId w:val="0"/>
        </w:numPr>
        <w:jc w:val="both"/>
        <w:outlineLvl w:val="0"/>
      </w:pPr>
      <w:r/>
      <w:r/>
    </w:p>
    <w:p>
      <w:pPr>
        <w:pStyle w:val="841"/>
      </w:pPr>
      <w:r>
        <w:t xml:space="preserve">Зарегистрировано в Минюсте России 10 декабря 2024 г. N 80516</w:t>
      </w:r>
      <w:r/>
    </w:p>
    <w:p>
      <w:pPr>
        <w:pStyle w:val="841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3"/>
        <w:jc w:val="center"/>
      </w:pPr>
      <w:r>
        <w:t xml:space="preserve">МИНИСТЕРСТВО ПРОСВЕЩЕНИЯ РОССИЙСКОЙ ФЕДЕРАЦИИ</w:t>
      </w:r>
      <w:r/>
    </w:p>
    <w:p>
      <w:pPr>
        <w:pStyle w:val="843"/>
        <w:jc w:val="center"/>
      </w:pPr>
      <w:r>
        <w:t xml:space="preserve">N 788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>
        <w:t xml:space="preserve">ФЕДЕРАЛЬНАЯ СЛУЖБА ПО НАДЗОРУ В СФЕРЕ ОБРАЗОВАНИЯ И НАУКИ</w:t>
      </w:r>
      <w:r/>
    </w:p>
    <w:p>
      <w:pPr>
        <w:pStyle w:val="843"/>
        <w:jc w:val="center"/>
      </w:pPr>
      <w:r>
        <w:t xml:space="preserve">N 2090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>
        <w:t xml:space="preserve">ПРИКАЗ</w:t>
      </w:r>
      <w:r/>
    </w:p>
    <w:p>
      <w:pPr>
        <w:pStyle w:val="843"/>
        <w:jc w:val="center"/>
      </w:pPr>
      <w:r>
        <w:t xml:space="preserve">от 11 ноября 2024 года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>
        <w:t xml:space="preserve">ОБ УТВЕРЖДЕНИИ ЕДИНОГО РАСПИСАНИЯ И ПРОДОЛЖИТЕЛЬНОСТИ</w:t>
      </w:r>
      <w:r/>
    </w:p>
    <w:p>
      <w:pPr>
        <w:pStyle w:val="843"/>
        <w:jc w:val="center"/>
      </w:pPr>
      <w:r>
        <w:t xml:space="preserve">ПРОВЕДЕНИЯ ОСНОВНОГО ГОСУДАРСТВЕННОГО ЭКЗАМЕНА ПО КАЖДОМУ</w:t>
      </w:r>
      <w:r/>
    </w:p>
    <w:p>
      <w:pPr>
        <w:pStyle w:val="843"/>
        <w:jc w:val="center"/>
      </w:pPr>
      <w:r>
        <w:t xml:space="preserve">УЧЕБНОМУ ПРЕДМЕТУ, ТРЕБОВАНИЙ К ИСПОЛЬЗОВАНИЮ СРЕДСТВ</w:t>
      </w:r>
      <w:r/>
    </w:p>
    <w:p>
      <w:pPr>
        <w:pStyle w:val="843"/>
        <w:jc w:val="center"/>
      </w:pPr>
      <w:r>
        <w:t xml:space="preserve">ОБУЧЕНИЯ И ВОСПИТАНИЯ ПРИ ЕГО ПРОВЕДЕНИИ В 2025 ГОДУ</w:t>
      </w:r>
      <w:r/>
    </w:p>
    <w:p>
      <w:pPr>
        <w:pStyle w:val="841"/>
        <w:jc w:val="center"/>
      </w:pPr>
      <w:r/>
      <w:r/>
    </w:p>
    <w:p>
      <w:pPr>
        <w:pStyle w:val="841"/>
        <w:ind w:firstLine="540"/>
        <w:jc w:val="both"/>
      </w:pPr>
      <w:r>
        <w:t xml:space="preserve">В соответствии с </w:t>
      </w:r>
      <w:hyperlink r:id="rId12" w:tooltip="https://login.consultant.ru/link/?req=doc&amp;base=LAW&amp;n=493233&amp;date=20.12.2024&amp;dst=245&amp;field=134" w:history="1">
        <w:r>
          <w:rPr>
            <w:rStyle w:val="835"/>
            <w:color w:val="0000ff"/>
          </w:rPr>
          <w:t xml:space="preserve"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3" w:tooltip="https://login.consultant.ru/link/?req=doc&amp;base=LAW&amp;n=488439&amp;date=20.12.2024&amp;dst=10&amp;field=134" w:history="1">
        <w:r>
          <w:rPr>
            <w:rStyle w:val="835"/>
            <w:color w:val="0000ff"/>
          </w:rPr>
          <w:t xml:space="preserve"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4" w:tooltip="https://login.consultant.ru/link/?req=doc&amp;base=LAW&amp;n=458783&amp;date=20.12.2024&amp;dst=2&amp;field=134" w:history="1">
        <w:r>
          <w:rPr>
            <w:rStyle w:val="835"/>
            <w:color w:val="0000ff"/>
          </w:rPr>
          <w:t xml:space="preserve"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  <w:r/>
    </w:p>
    <w:p>
      <w:pPr>
        <w:pStyle w:val="841"/>
        <w:ind w:firstLine="540"/>
        <w:jc w:val="both"/>
        <w:spacing w:before="240" w:after="0"/>
      </w:pPr>
      <w:r>
        <w:t xml:space="preserve">1. Утвердить следующее расписание проведения основного государственного экзамена (далее - ОГЭ) в 2025 году:</w:t>
      </w:r>
      <w:r/>
    </w:p>
    <w:p>
      <w:pPr>
        <w:pStyle w:val="841"/>
        <w:ind w:firstLine="540"/>
        <w:jc w:val="both"/>
        <w:spacing w:before="240" w:after="0"/>
      </w:pPr>
      <w:r>
        <w:t xml:space="preserve">1.1. Для лиц, указанных в </w:t>
      </w:r>
      <w:hyperlink r:id="rId15" w:tooltip="https://login.consultant.ru/link/?req=doc&amp;base=LAW&amp;n=447000&amp;date=20.12.2024&amp;dst=100023&amp;field=134" w:history="1">
        <w:r>
          <w:rPr>
            <w:rStyle w:val="835"/>
            <w:color w:val="0000ff"/>
          </w:rPr>
          <w:t xml:space="preserve">пунктах 5</w:t>
        </w:r>
      </w:hyperlink>
      <w:r>
        <w:t xml:space="preserve"> и </w:t>
      </w:r>
      <w:hyperlink r:id="rId16" w:tooltip="https://login.consultant.ru/link/?req=doc&amp;base=LAW&amp;n=447000&amp;date=20.12.2024&amp;dst=100035&amp;field=134" w:history="1">
        <w:r>
          <w:rPr>
            <w:rStyle w:val="835"/>
            <w:color w:val="0000ff"/>
          </w:rPr>
          <w:t xml:space="preserve"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</w:t>
      </w:r>
      <w:r>
        <w:t xml:space="preserve">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  <w:r/>
    </w:p>
    <w:p>
      <w:pPr>
        <w:pStyle w:val="841"/>
        <w:ind w:firstLine="540"/>
        <w:jc w:val="both"/>
        <w:spacing w:before="240" w:after="0"/>
      </w:pPr>
      <w:r>
        <w:t xml:space="preserve">21 мая (среда) - иностранные языки (английский, испанский, немецкий, французский);</w:t>
      </w:r>
      <w:r/>
    </w:p>
    <w:p>
      <w:pPr>
        <w:pStyle w:val="841"/>
        <w:ind w:firstLine="540"/>
        <w:jc w:val="both"/>
        <w:spacing w:before="240" w:after="0"/>
      </w:pPr>
      <w:r>
        <w:t xml:space="preserve">22 мая (четверг) - иностранные языки (английский, испанский, немецкий, французский);</w:t>
      </w:r>
      <w:r/>
    </w:p>
    <w:p>
      <w:pPr>
        <w:pStyle w:val="841"/>
        <w:ind w:firstLine="540"/>
        <w:jc w:val="both"/>
        <w:spacing w:before="240" w:after="0"/>
      </w:pPr>
      <w:r>
        <w:t xml:space="preserve">26 мая (понедельник) - биология, информатика, обществознание,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29 мая (четверг) - география, история, физика,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3 июня (вторник)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6 июня (пятница) - география, информатика, обществознание;</w:t>
      </w:r>
      <w:r/>
    </w:p>
    <w:p>
      <w:pPr>
        <w:pStyle w:val="841"/>
        <w:ind w:firstLine="540"/>
        <w:jc w:val="both"/>
        <w:spacing w:before="240" w:after="0"/>
      </w:pPr>
      <w:r>
        <w:t xml:space="preserve">9 июня (понедельник)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16 июня (понедельник) - биология, информатика, литература, физика.</w:t>
      </w:r>
      <w:r/>
    </w:p>
    <w:p>
      <w:pPr>
        <w:pStyle w:val="841"/>
        <w:ind w:firstLine="540"/>
        <w:jc w:val="both"/>
        <w:spacing w:before="240" w:after="0"/>
      </w:pPr>
      <w:r>
        <w:t xml:space="preserve">1.2. Для лиц, указанных в </w:t>
      </w:r>
      <w:hyperlink r:id="rId17" w:tooltip="https://login.consultant.ru/link/?req=doc&amp;base=LAW&amp;n=447000&amp;date=20.12.2024&amp;dst=100275&amp;field=134" w:history="1">
        <w:r>
          <w:rPr>
            <w:rStyle w:val="835"/>
            <w:color w:val="0000ff"/>
          </w:rPr>
          <w:t xml:space="preserve">пунктах 42</w:t>
        </w:r>
      </w:hyperlink>
      <w:r>
        <w:t xml:space="preserve">, </w:t>
      </w:r>
      <w:hyperlink r:id="rId18" w:tooltip="https://login.consultant.ru/link/?req=doc&amp;base=LAW&amp;n=447000&amp;date=20.12.2024&amp;dst=100283&amp;field=134" w:history="1">
        <w:r>
          <w:rPr>
            <w:rStyle w:val="835"/>
            <w:color w:val="0000ff"/>
          </w:rPr>
          <w:t xml:space="preserve">47</w:t>
        </w:r>
      </w:hyperlink>
      <w:r>
        <w:t xml:space="preserve"> и </w:t>
      </w:r>
      <w:hyperlink r:id="rId19" w:tooltip="https://login.consultant.ru/link/?req=doc&amp;base=LAW&amp;n=447000&amp;date=20.12.2024&amp;dst=100492&amp;field=134" w:history="1">
        <w:r>
          <w:rPr>
            <w:rStyle w:val="835"/>
            <w:color w:val="0000ff"/>
          </w:rPr>
          <w:t xml:space="preserve">80</w:t>
        </w:r>
      </w:hyperlink>
      <w:r>
        <w:t xml:space="preserve"> Порядка проведения ГИА:</w:t>
      </w:r>
      <w:r/>
    </w:p>
    <w:p>
      <w:pPr>
        <w:pStyle w:val="841"/>
        <w:ind w:firstLine="540"/>
        <w:jc w:val="both"/>
        <w:spacing w:before="240" w:after="0"/>
      </w:pPr>
      <w:r>
        <w:t xml:space="preserve">12 мая (понедельник)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13 мая (вторник) - информатика, литература, обществознание,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14 мая (среда) - биология, география, иностранные языки (английский, испанский, немецкий, французский), история, физика;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15 мая (четверг)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17 мая (суббота) - по всем учебным предметам;</w:t>
      </w:r>
      <w:r/>
    </w:p>
    <w:p>
      <w:pPr>
        <w:pStyle w:val="841"/>
        <w:ind w:firstLine="540"/>
        <w:jc w:val="both"/>
        <w:spacing w:before="240" w:after="0"/>
      </w:pPr>
      <w:r>
        <w:t xml:space="preserve">26 июня (четверг)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27 июня (пятница) - по всем учебным предметам (кроме русского языка и математики);</w:t>
      </w:r>
      <w:r/>
    </w:p>
    <w:p>
      <w:pPr>
        <w:pStyle w:val="841"/>
        <w:ind w:firstLine="540"/>
        <w:jc w:val="both"/>
        <w:spacing w:before="240" w:after="0"/>
      </w:pPr>
      <w:r>
        <w:t xml:space="preserve">28 июня (суббота) - по всем учебным предметам (кроме русского языка и математики);</w:t>
      </w:r>
      <w:r/>
    </w:p>
    <w:p>
      <w:pPr>
        <w:pStyle w:val="841"/>
        <w:ind w:firstLine="540"/>
        <w:jc w:val="both"/>
        <w:spacing w:before="240" w:after="0"/>
      </w:pPr>
      <w:r>
        <w:t xml:space="preserve">30 июня (понедельник)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 июля (вторник) - по всем учебным предметам;</w:t>
      </w:r>
      <w:r/>
    </w:p>
    <w:p>
      <w:pPr>
        <w:pStyle w:val="841"/>
        <w:ind w:firstLine="540"/>
        <w:jc w:val="both"/>
        <w:spacing w:before="240" w:after="0"/>
      </w:pPr>
      <w:r>
        <w:t xml:space="preserve">2 июля (среда) - по всем учебным предметам;</w:t>
      </w:r>
      <w:r/>
    </w:p>
    <w:p>
      <w:pPr>
        <w:pStyle w:val="841"/>
        <w:ind w:firstLine="540"/>
        <w:jc w:val="both"/>
        <w:spacing w:before="240" w:after="0"/>
      </w:pPr>
      <w:r>
        <w:t xml:space="preserve">17 сентября (среда)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18 сентября (четверг)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19 сентября (пятница) - по всем учебным предметам (кроме русского языка и математики);</w:t>
      </w:r>
      <w:r/>
    </w:p>
    <w:p>
      <w:pPr>
        <w:pStyle w:val="841"/>
        <w:ind w:firstLine="540"/>
        <w:jc w:val="both"/>
        <w:spacing w:before="240" w:after="0"/>
      </w:pPr>
      <w:r>
        <w:t xml:space="preserve">22 сентября (понедельник) - по всем учебным предметам (кроме русского языка и математики);</w:t>
      </w:r>
      <w:r/>
    </w:p>
    <w:p>
      <w:pPr>
        <w:pStyle w:val="841"/>
        <w:ind w:firstLine="540"/>
        <w:jc w:val="both"/>
        <w:spacing w:before="240" w:after="0"/>
      </w:pPr>
      <w:r>
        <w:t xml:space="preserve">23 сентября (вторник) - по всем учебным предметам.</w:t>
      </w:r>
      <w:r/>
    </w:p>
    <w:p>
      <w:pPr>
        <w:pStyle w:val="841"/>
        <w:ind w:firstLine="540"/>
        <w:jc w:val="both"/>
        <w:spacing w:before="240" w:after="0"/>
      </w:pPr>
      <w:r>
        <w:t xml:space="preserve">1.3. Для лиц, указанных в </w:t>
      </w:r>
      <w:hyperlink r:id="rId20" w:tooltip="https://login.consultant.ru/link/?req=doc&amp;base=LAW&amp;n=447000&amp;date=20.12.2024&amp;dst=100276&amp;field=134" w:history="1">
        <w:r>
          <w:rPr>
            <w:rStyle w:val="835"/>
            <w:color w:val="0000ff"/>
          </w:rPr>
          <w:t xml:space="preserve">пункте 43</w:t>
        </w:r>
      </w:hyperlink>
      <w:r>
        <w:t xml:space="preserve"> Порядка проведения ГИА:</w:t>
      </w:r>
      <w:r/>
    </w:p>
    <w:p>
      <w:pPr>
        <w:pStyle w:val="841"/>
        <w:ind w:firstLine="540"/>
        <w:jc w:val="both"/>
        <w:spacing w:before="240" w:after="0"/>
      </w:pPr>
      <w:r>
        <w:t xml:space="preserve">22 апреля (вторник)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25 апреля (пятница)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29 апреля (вторник) - информатика, литература, обществознание,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6 мая (вторник) - биология, география, иностранные языки (английский, испанский, немецкий, французский), история, физика.</w:t>
      </w:r>
      <w:r/>
    </w:p>
    <w:p>
      <w:pPr>
        <w:pStyle w:val="841"/>
        <w:ind w:firstLine="540"/>
        <w:jc w:val="both"/>
        <w:spacing w:before="240" w:after="0"/>
      </w:pPr>
      <w:r>
        <w:t xml:space="preserve">1.4. Для лиц, указанных в </w:t>
      </w:r>
      <w:hyperlink r:id="rId21" w:tooltip="https://login.consultant.ru/link/?req=doc&amp;base=LAW&amp;n=447000&amp;date=20.12.2024&amp;dst=100496&amp;field=134" w:history="1">
        <w:r>
          <w:rPr>
            <w:rStyle w:val="835"/>
            <w:color w:val="0000ff"/>
          </w:rPr>
          <w:t xml:space="preserve">пункте 81</w:t>
        </w:r>
      </w:hyperlink>
      <w:r>
        <w:t xml:space="preserve"> Порядка проведения ГИА:</w:t>
      </w:r>
      <w:r/>
    </w:p>
    <w:p>
      <w:pPr>
        <w:pStyle w:val="841"/>
        <w:ind w:firstLine="540"/>
        <w:jc w:val="both"/>
        <w:spacing w:before="240" w:after="0"/>
      </w:pPr>
      <w:r>
        <w:t xml:space="preserve">2 сентября (вторник)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5 сентября (пятница)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9 сентября (вторник) - биология, география, история, физика;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12 сентября (пятница) - иностранные языки (английский, испанский, немецкий, французский), информатика, литература, обществознание, химия.</w:t>
      </w:r>
      <w:r/>
    </w:p>
    <w:p>
      <w:pPr>
        <w:pStyle w:val="841"/>
        <w:ind w:firstLine="540"/>
        <w:jc w:val="both"/>
        <w:spacing w:before="240" w:after="0"/>
      </w:pPr>
      <w:r>
        <w:t xml:space="preserve">2. Установить, что:</w:t>
      </w:r>
      <w:r/>
    </w:p>
    <w:p>
      <w:pPr>
        <w:pStyle w:val="841"/>
        <w:ind w:firstLine="540"/>
        <w:jc w:val="both"/>
        <w:spacing w:before="240" w:after="0"/>
      </w:pPr>
      <w:r>
        <w:t xml:space="preserve">2.1. ОГЭ по всем учебным предметам начинается в 10.00 по местному времени.</w:t>
      </w:r>
      <w:r/>
    </w:p>
    <w:p>
      <w:pPr>
        <w:pStyle w:val="841"/>
        <w:ind w:firstLine="540"/>
        <w:jc w:val="both"/>
        <w:spacing w:before="240" w:after="0"/>
      </w:pPr>
      <w:r>
        <w:t xml:space="preserve"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</w:t>
      </w:r>
      <w:r>
        <w:t xml:space="preserve">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  <w:r/>
    </w:p>
    <w:p>
      <w:pPr>
        <w:pStyle w:val="841"/>
        <w:ind w:firstLine="540"/>
        <w:jc w:val="both"/>
        <w:spacing w:before="240" w:after="0"/>
      </w:pPr>
      <w: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  <w:r/>
    </w:p>
    <w:p>
      <w:pPr>
        <w:pStyle w:val="841"/>
        <w:ind w:firstLine="540"/>
        <w:jc w:val="both"/>
        <w:spacing w:before="240" w:after="0"/>
      </w:pPr>
      <w:r>
        <w:t xml:space="preserve">Допускается использование участниками ОГЭ следующих средств обучения и воспитания по соответствующим учебным предметам:</w:t>
      </w:r>
      <w:r/>
    </w:p>
    <w:p>
      <w:pPr>
        <w:pStyle w:val="841"/>
        <w:ind w:firstLine="540"/>
        <w:jc w:val="both"/>
        <w:spacing w:before="240" w:after="0"/>
      </w:pPr>
      <w:r>
        <w:t xml:space="preserve">по биологии - линейка, не содержащая справочной информации (далее - линейка), д</w:t>
      </w:r>
      <w:r>
        <w:t xml:space="preserve">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</w:t>
      </w:r>
      <w:r>
        <w:t xml:space="preserve">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иностранным языкам - технические средства, обеспечивающие воспроизведение аудиозаписей,</w:t>
      </w:r>
      <w:r>
        <w:t xml:space="preserve">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информатике - компьютерная т</w:t>
      </w:r>
      <w:r>
        <w:t xml:space="preserve">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русскому языку - орфографический словарь, позволяющий устанавливать нормативное написание слов;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химии - непрограммируемый калькулятор; комплект химических р</w:t>
      </w:r>
      <w:r>
        <w:t xml:space="preserve">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/>
    </w:p>
    <w:p>
      <w:pPr>
        <w:pStyle w:val="841"/>
        <w:ind w:firstLine="540"/>
        <w:jc w:val="both"/>
        <w:spacing w:before="240" w:after="0"/>
      </w:pPr>
      <w:r>
        <w:t xml:space="preserve"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  <w:r/>
    </w:p>
    <w:p>
      <w:pPr>
        <w:pStyle w:val="841"/>
        <w:ind w:firstLine="540"/>
        <w:jc w:val="both"/>
        <w:spacing w:before="240" w:after="0"/>
      </w:pPr>
      <w:r>
        <w:t xml:space="preserve">3. Признать утратившими силу:</w:t>
      </w:r>
      <w:r/>
    </w:p>
    <w:p>
      <w:pPr>
        <w:pStyle w:val="841"/>
        <w:ind w:firstLine="540"/>
        <w:jc w:val="both"/>
        <w:spacing w:before="240" w:after="0"/>
      </w:pPr>
      <w:r/>
      <w:hyperlink r:id="rId22" w:tooltip="https://login.consultant.ru/link/?req=doc&amp;base=LAW&amp;n=475034&amp;date=20.12.2024" w:history="1">
        <w:r>
          <w:rPr>
            <w:rStyle w:val="835"/>
            <w:color w:val="0000ff"/>
          </w:rPr>
          <w:t xml:space="preserve"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</w:t>
      </w:r>
      <w:r>
        <w:t xml:space="preserve">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76765);</w:t>
      </w:r>
      <w:r/>
    </w:p>
    <w:p>
      <w:pPr>
        <w:pStyle w:val="841"/>
      </w:pPr>
      <w:r/>
      <w:r/>
    </w:p>
    <w:tbl>
      <w:tblPr>
        <w:tblW w:w="5000" w:type="pct"/>
        <w:tblInd w:w="-6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4"/>
        <w:gridCol w:w="125"/>
        <w:gridCol w:w="9833"/>
        <w:gridCol w:w="125"/>
      </w:tblGrid>
      <w:tr>
        <w:tblPrEx/>
        <w:trPr/>
        <w:tc>
          <w:tcPr>
            <w:shd w:val="clear" w:color="auto" w:fill="ced3f1"/>
            <w:tcW w:w="124" w:type="dxa"/>
            <w:textDirection w:val="lrTb"/>
            <w:noWrap w:val="false"/>
          </w:tcPr>
          <w:p>
            <w:pPr>
              <w:pStyle w:val="841"/>
            </w:pPr>
            <w:r/>
            <w:r/>
          </w:p>
        </w:tc>
        <w:tc>
          <w:tcPr>
            <w:shd w:val="clear" w:color="auto" w:fill="f4f3f8"/>
            <w:tcW w:w="125" w:type="dxa"/>
            <w:textDirection w:val="lrTb"/>
            <w:noWrap w:val="false"/>
          </w:tcPr>
          <w:p>
            <w:pPr>
              <w:pStyle w:val="841"/>
            </w:pPr>
            <w:r/>
            <w:r/>
          </w:p>
        </w:tc>
        <w:tc>
          <w:tcPr>
            <w:shd w:val="clear" w:color="auto" w:fill="f4f3f8"/>
            <w:tcMar>
              <w:top w:w="113" w:type="dxa"/>
              <w:bottom w:w="113" w:type="dxa"/>
            </w:tcMar>
            <w:tcW w:w="9833" w:type="dxa"/>
            <w:textDirection w:val="lrTb"/>
            <w:noWrap w:val="false"/>
          </w:tcPr>
          <w:p>
            <w:pPr>
              <w:pStyle w:val="84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КонсультантПлюс: примечание.</w:t>
            </w:r>
            <w:r>
              <w:rPr>
                <w:color w:val="392c69"/>
              </w:rPr>
            </w:r>
          </w:p>
          <w:p>
            <w:pPr>
              <w:pStyle w:val="841"/>
              <w:jc w:val="both"/>
            </w:pPr>
            <w:r>
              <w:rPr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r:id="rId23" w:tooltip="https://login.consultant.ru/link/?req=doc&amp;base=LAW&amp;n=492884&amp;date=20.12.2024&amp;dst=100090&amp;field=134" w:history="1">
              <w:r>
                <w:rPr>
                  <w:rStyle w:val="835"/>
                  <w:color w:val="0000ff"/>
                </w:rPr>
                <w:t xml:space="preserve">Приказом</w:t>
              </w:r>
            </w:hyperlink>
            <w:r>
              <w:rPr>
                <w:color w:val="392c69"/>
              </w:rPr>
              <w:t xml:space="preserve"> Минпросвещения России N 789, Рособрнадзора N 2091 от 11.11.2024.</w:t>
            </w:r>
            <w:r/>
          </w:p>
        </w:tc>
        <w:tc>
          <w:tcPr>
            <w:shd w:val="clear" w:color="auto" w:fill="f4f3f8"/>
            <w:tcW w:w="125" w:type="dxa"/>
            <w:textDirection w:val="lrTb"/>
            <w:noWrap w:val="false"/>
          </w:tcPr>
          <w:p>
            <w:pPr>
              <w:pStyle w:val="841"/>
              <w:jc w:val="both"/>
              <w:rPr>
                <w:color w:val="392c69"/>
              </w:rPr>
            </w:pPr>
            <w:r>
              <w:rPr>
                <w:color w:val="392c69"/>
              </w:rPr>
            </w:r>
            <w:r>
              <w:rPr>
                <w:color w:val="392c69"/>
              </w:rPr>
            </w:r>
          </w:p>
        </w:tc>
      </w:tr>
    </w:tbl>
    <w:p>
      <w:pPr>
        <w:pStyle w:val="841"/>
        <w:ind w:firstLine="540"/>
        <w:jc w:val="both"/>
        <w:spacing w:before="300" w:after="0"/>
      </w:pPr>
      <w:r/>
      <w:hyperlink r:id="rId24" w:tooltip="https://login.consultant.ru/link/?req=doc&amp;base=LAW&amp;n=475007&amp;date=20.12.2024&amp;dst=100041&amp;field=134" w:history="1">
        <w:r>
          <w:rPr>
            <w:rStyle w:val="835"/>
            <w:color w:val="0000ff"/>
          </w:rPr>
          <w:t xml:space="preserve"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</w:t>
      </w:r>
      <w:r>
        <w:t xml:space="preserve">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77937).</w:t>
      </w:r>
      <w:r/>
    </w:p>
    <w:p>
      <w:pPr>
        <w:pStyle w:val="841"/>
        <w:ind w:firstLine="540"/>
        <w:jc w:val="both"/>
      </w:pPr>
      <w:r/>
      <w:r/>
    </w:p>
    <w:p>
      <w:pPr>
        <w:pStyle w:val="841"/>
        <w:jc w:val="right"/>
      </w:pPr>
      <w:r>
        <w:t xml:space="preserve">Министр просвещения</w:t>
      </w:r>
      <w:r/>
    </w:p>
    <w:p>
      <w:pPr>
        <w:pStyle w:val="841"/>
        <w:jc w:val="right"/>
      </w:pPr>
      <w:r>
        <w:t xml:space="preserve">Российской Федерации</w:t>
      </w:r>
      <w:r/>
    </w:p>
    <w:p>
      <w:pPr>
        <w:pStyle w:val="841"/>
        <w:jc w:val="right"/>
      </w:pPr>
      <w:r>
        <w:t xml:space="preserve">С.С.КРАВЦОВ</w:t>
      </w:r>
      <w:r/>
    </w:p>
    <w:p>
      <w:pPr>
        <w:pStyle w:val="841"/>
        <w:jc w:val="right"/>
      </w:pPr>
      <w:r/>
      <w:r/>
    </w:p>
    <w:p>
      <w:pPr>
        <w:pStyle w:val="841"/>
        <w:jc w:val="right"/>
      </w:pPr>
      <w:r>
        <w:t xml:space="preserve">Руководитель</w:t>
      </w:r>
      <w:r/>
    </w:p>
    <w:p>
      <w:pPr>
        <w:pStyle w:val="841"/>
        <w:jc w:val="right"/>
      </w:pPr>
      <w:r>
        <w:t xml:space="preserve">Федеральной службы по надзору</w:t>
      </w:r>
      <w:r/>
    </w:p>
    <w:p>
      <w:pPr>
        <w:pStyle w:val="841"/>
        <w:jc w:val="right"/>
      </w:pPr>
      <w:r>
        <w:t xml:space="preserve">в сфере образования и науки</w:t>
      </w:r>
      <w:r/>
    </w:p>
    <w:p>
      <w:pPr>
        <w:pStyle w:val="841"/>
        <w:jc w:val="right"/>
      </w:pPr>
      <w:r>
        <w:t xml:space="preserve">А.А.МУЗАЕВ</w:t>
      </w:r>
      <w:r/>
    </w:p>
    <w:p>
      <w:pPr>
        <w:pStyle w:val="841"/>
        <w:jc w:val="both"/>
      </w:pPr>
      <w:r/>
      <w:r/>
    </w:p>
    <w:p>
      <w:pPr>
        <w:pStyle w:val="841"/>
        <w:jc w:val="both"/>
      </w:pPr>
      <w:r/>
      <w:r/>
    </w:p>
    <w:p>
      <w:pPr>
        <w:pStyle w:val="841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ourier New">
    <w:panose1 w:val="02070409020205020404"/>
  </w:font>
  <w:font w:name="Aptos"/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3367"/>
      <w:gridCol w:w="3471"/>
      <w:gridCol w:w="3369"/>
    </w:tblGrid>
    <w:tr>
      <w:tblPrEx/>
      <w:trPr>
        <w:trHeight w:val="1663" w:hRule="exact"/>
      </w:trPr>
      <w:tc>
        <w:tcPr>
          <w:tcW w:w="3367" w:type="dxa"/>
          <w:vAlign w:val="center"/>
          <w:textDirection w:val="lrTb"/>
          <w:noWrap w:val="false"/>
        </w:tcPr>
        <w:p>
          <w:pPr>
            <w:pStyle w:val="841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 xml:space="preserve">надежная правовая поддержка</w:t>
          </w: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r>
        </w:p>
      </w:tc>
      <w:tc>
        <w:tcPr>
          <w:tcW w:w="3471" w:type="dxa"/>
          <w:vAlign w:val="center"/>
          <w:textDirection w:val="lrTb"/>
          <w:noWrap w:val="false"/>
        </w:tcPr>
        <w:p>
          <w:pPr>
            <w:pStyle w:val="841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/>
          <w:hyperlink r:id="rId1" w:tooltip="https://www.consultant.ru/" w:history="1">
            <w:r>
              <w:rPr>
                <w:rStyle w:val="835"/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www.consultant.ru</w:t>
            </w:r>
          </w:hyperlink>
          <w:r/>
          <w:r>
            <w:rPr>
              <w:rFonts w:ascii="Tahoma" w:hAnsi="Tahoma" w:cs="Tahoma"/>
              <w:b/>
              <w:bCs/>
              <w:sz w:val="20"/>
              <w:szCs w:val="20"/>
            </w:rPr>
          </w:r>
        </w:p>
      </w:tc>
      <w:tc>
        <w:tcPr>
          <w:tcW w:w="3369" w:type="dxa"/>
          <w:vAlign w:val="center"/>
          <w:textDirection w:val="lrTb"/>
          <w:noWrap w:val="false"/>
        </w:tcPr>
        <w:p>
          <w:pPr>
            <w:pStyle w:val="841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NUMPAGES \* ARABIC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</w:r>
        </w:p>
      </w:tc>
    </w:tr>
  </w:tbl>
  <w:p>
    <w:pPr>
      <w:pStyle w:val="84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3367"/>
      <w:gridCol w:w="3471"/>
      <w:gridCol w:w="3369"/>
    </w:tblGrid>
    <w:tr>
      <w:tblPrEx/>
      <w:trPr>
        <w:trHeight w:val="1663" w:hRule="exact"/>
      </w:trPr>
      <w:tc>
        <w:tcPr>
          <w:tcW w:w="3367" w:type="dxa"/>
          <w:vAlign w:val="center"/>
          <w:textDirection w:val="lrTb"/>
          <w:noWrap w:val="false"/>
        </w:tcPr>
        <w:p>
          <w:pPr>
            <w:pStyle w:val="841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 xml:space="preserve">надежная правовая поддержка</w:t>
          </w: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r>
        </w:p>
      </w:tc>
      <w:tc>
        <w:tcPr>
          <w:tcW w:w="3471" w:type="dxa"/>
          <w:vAlign w:val="center"/>
          <w:textDirection w:val="lrTb"/>
          <w:noWrap w:val="false"/>
        </w:tcPr>
        <w:p>
          <w:pPr>
            <w:pStyle w:val="841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/>
          <w:hyperlink r:id="rId1" w:tooltip="https://www.consultant.ru/" w:history="1">
            <w:r>
              <w:rPr>
                <w:rStyle w:val="835"/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www.consultant.ru</w:t>
            </w:r>
          </w:hyperlink>
          <w:r/>
          <w:r>
            <w:rPr>
              <w:rFonts w:ascii="Tahoma" w:hAnsi="Tahoma" w:cs="Tahoma"/>
              <w:b/>
              <w:bCs/>
              <w:sz w:val="20"/>
              <w:szCs w:val="20"/>
            </w:rPr>
          </w:r>
        </w:p>
      </w:tc>
      <w:tc>
        <w:tcPr>
          <w:tcW w:w="3369" w:type="dxa"/>
          <w:vAlign w:val="center"/>
          <w:textDirection w:val="lrTb"/>
          <w:noWrap w:val="false"/>
        </w:tcPr>
        <w:p>
          <w:pPr>
            <w:pStyle w:val="841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NUMPAGES \* ARABIC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</w:r>
        </w:p>
      </w:tc>
    </w:tr>
  </w:tbl>
  <w:p>
    <w:pPr>
      <w:pStyle w:val="84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5511"/>
      <w:gridCol w:w="4696"/>
    </w:tblGrid>
    <w:tr>
      <w:tblPrEx/>
      <w:trPr>
        <w:trHeight w:val="1683" w:hRule="exact"/>
      </w:trPr>
      <w:tc>
        <w:tcPr>
          <w:tcW w:w="5511" w:type="dxa"/>
          <w:vAlign w:val="center"/>
          <w:textDirection w:val="lrTb"/>
          <w:noWrap w:val="false"/>
        </w:tcPr>
        <w:p>
          <w:pPr>
            <w:pStyle w:val="841"/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N 788, Рособрнадзора N 2090 от 11.11.2024</w:t>
            <w:br/>
            <w:t xml:space="preserve">"Об утверждении единого расписания и продолжитель...</w:t>
          </w:r>
          <w:r/>
        </w:p>
      </w:tc>
      <w:tc>
        <w:tcPr>
          <w:tcW w:w="4696" w:type="dxa"/>
          <w:vAlign w:val="center"/>
          <w:textDirection w:val="lrTb"/>
          <w:noWrap w:val="false"/>
        </w:tcPr>
        <w:p>
          <w:pPr>
            <w:pStyle w:val="841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https://www.consultant.ru/" w:history="1">
            <w:r>
              <w:rPr>
                <w:rStyle w:val="835"/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20.12.2024</w:t>
          </w:r>
          <w:r/>
        </w:p>
      </w:tc>
    </w:tr>
  </w:tbl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pStyle w:val="841"/>
      <w:rPr>
        <w:sz w:val="10"/>
        <w:szCs w:val="10"/>
      </w:rPr>
    </w:pPr>
    <w:r>
      <w:rPr>
        <w:sz w:val="10"/>
        <w:szCs w:val="10"/>
      </w:rPr>
      <w:t xml:space="preserve"> </w:t>
    </w:r>
    <w:r>
      <w:rPr>
        <w:sz w:val="10"/>
        <w:szCs w:val="1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5511"/>
      <w:gridCol w:w="4696"/>
    </w:tblGrid>
    <w:tr>
      <w:tblPrEx/>
      <w:trPr>
        <w:trHeight w:val="1683" w:hRule="exact"/>
      </w:trPr>
      <w:tc>
        <w:tcPr>
          <w:tcW w:w="5511" w:type="dxa"/>
          <w:vAlign w:val="center"/>
          <w:textDirection w:val="lrTb"/>
          <w:noWrap w:val="false"/>
        </w:tcPr>
        <w:p>
          <w:pPr>
            <w:pStyle w:val="841"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05000" cy="447675"/>
                    <wp:effectExtent l="0" t="0" r="0" b="0"/>
                    <wp:docPr id="1" name="Image1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1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rcRect l="-19" t="-80" r="-19" b="-79"/>
                            <a:stretch/>
                          </pic:blipFill>
                          <pic:spPr bwMode="auto">
                            <a:xfrm>
                              <a:off x="0" y="0"/>
                              <a:ext cx="1905000" cy="4476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00pt;height:35.25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  <w:p>
          <w:pPr>
            <w:pStyle w:val="841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N 788, Рособрнадзора N 2090 от 11.11.2024 "Об утверждении единого расписания и продолжитель...</w:t>
          </w:r>
          <w:r>
            <w:rPr>
              <w:rFonts w:ascii="Tahoma" w:hAnsi="Tahoma" w:cs="Tahoma"/>
              <w:sz w:val="16"/>
              <w:szCs w:val="16"/>
            </w:rPr>
          </w:r>
        </w:p>
      </w:tc>
      <w:tc>
        <w:tcPr>
          <w:tcW w:w="4696" w:type="dxa"/>
          <w:vAlign w:val="center"/>
          <w:textDirection w:val="lrTb"/>
          <w:noWrap w:val="false"/>
        </w:tcPr>
        <w:p>
          <w:pPr>
            <w:pStyle w:val="841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tooltip="https://www.consultant.ru/" w:history="1">
            <w:r>
              <w:rPr>
                <w:rStyle w:val="835"/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20.12.2024</w:t>
          </w:r>
          <w:r/>
        </w:p>
      </w:tc>
    </w:tr>
  </w:tbl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pStyle w:val="841"/>
      <w:rPr>
        <w:sz w:val="10"/>
        <w:szCs w:val="10"/>
      </w:rPr>
    </w:pPr>
    <w:r>
      <w:rPr>
        <w:sz w:val="10"/>
        <w:szCs w:val="10"/>
      </w:rPr>
      <w:t xml:space="preserve"> </w:t>
    </w:r>
    <w:r>
      <w:rPr>
        <w:sz w:val="10"/>
        <w:szCs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33"/>
    <w:next w:val="8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33"/>
    <w:next w:val="8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33"/>
    <w:next w:val="8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33"/>
    <w:next w:val="8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33"/>
    <w:next w:val="8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33"/>
    <w:next w:val="8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33"/>
    <w:next w:val="8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33"/>
    <w:next w:val="8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33"/>
    <w:next w:val="8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33"/>
    <w:next w:val="8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33"/>
    <w:next w:val="8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33"/>
    <w:next w:val="8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33"/>
    <w:next w:val="8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854"/>
    <w:uiPriority w:val="99"/>
  </w:style>
  <w:style w:type="character" w:styleId="45">
    <w:name w:val="Footer Char"/>
    <w:basedOn w:val="11"/>
    <w:link w:val="853"/>
    <w:uiPriority w:val="99"/>
  </w:style>
  <w:style w:type="character" w:styleId="47">
    <w:name w:val="Caption Char"/>
    <w:basedOn w:val="839"/>
    <w:link w:val="853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before="0" w:after="160" w:line="276" w:lineRule="auto"/>
      <w:widowControl/>
    </w:pPr>
    <w:rPr>
      <w:rFonts w:ascii="Aptos" w:hAnsi="Aptos" w:eastAsia="Times New Roman" w:cs="Times New Roman"/>
      <w:color w:val="auto"/>
      <w:sz w:val="24"/>
      <w:szCs w:val="24"/>
      <w:lang w:val="ru-RU" w:eastAsia="zh-CN" w:bidi="ar-SA"/>
    </w:rPr>
  </w:style>
  <w:style w:type="character" w:styleId="834">
    <w:name w:val="Основной шрифт абзаца"/>
    <w:qFormat/>
  </w:style>
  <w:style w:type="character" w:styleId="835">
    <w:name w:val="Hyperlink"/>
    <w:rPr>
      <w:color w:val="000080"/>
      <w:u w:val="single"/>
    </w:rPr>
  </w:style>
  <w:style w:type="paragraph" w:styleId="836">
    <w:name w:val="Heading"/>
    <w:basedOn w:val="833"/>
    <w:next w:val="83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7">
    <w:name w:val="Body Text"/>
    <w:basedOn w:val="833"/>
    <w:pPr>
      <w:spacing w:before="0" w:after="140" w:line="276" w:lineRule="auto"/>
    </w:pPr>
  </w:style>
  <w:style w:type="paragraph" w:styleId="838">
    <w:name w:val="List"/>
    <w:basedOn w:val="837"/>
  </w:style>
  <w:style w:type="paragraph" w:styleId="839">
    <w:name w:val="Caption"/>
    <w:basedOn w:val="83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0">
    <w:name w:val="Index"/>
    <w:basedOn w:val="833"/>
    <w:qFormat/>
    <w:pPr>
      <w:suppressLineNumbers/>
    </w:pPr>
  </w:style>
  <w:style w:type="paragraph" w:styleId="841">
    <w:name w:val="ConsPlusNormal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2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43">
    <w:name w:val="ConsPlusTitle"/>
    <w:qFormat/>
    <w:pPr>
      <w:widowControl w:val="off"/>
    </w:pPr>
    <w:rPr>
      <w:rFonts w:ascii="Arial" w:hAnsi="Arial" w:eastAsia="Times New Roman" w:cs="Arial"/>
      <w:b/>
      <w:bCs/>
      <w:color w:val="auto"/>
      <w:sz w:val="24"/>
      <w:szCs w:val="24"/>
      <w:lang w:val="ru-RU" w:eastAsia="zh-CN" w:bidi="ar-SA"/>
    </w:rPr>
  </w:style>
  <w:style w:type="paragraph" w:styleId="844">
    <w:name w:val="ConsPlusCell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45">
    <w:name w:val="ConsPlusDocList"/>
    <w:qFormat/>
    <w:pPr>
      <w:widowControl w:val="off"/>
    </w:pPr>
    <w:rPr>
      <w:rFonts w:ascii="Tahoma" w:hAnsi="Tahoma" w:eastAsia="Times New Roman" w:cs="Tahoma"/>
      <w:color w:val="auto"/>
      <w:sz w:val="18"/>
      <w:szCs w:val="18"/>
      <w:lang w:val="ru-RU" w:eastAsia="zh-CN" w:bidi="ar-SA"/>
    </w:rPr>
  </w:style>
  <w:style w:type="paragraph" w:styleId="846">
    <w:name w:val="ConsPlusTitlePage"/>
    <w:qFormat/>
    <w:pPr>
      <w:widowControl w:val="off"/>
    </w:pPr>
    <w:rPr>
      <w:rFonts w:ascii="Tahoma" w:hAnsi="Tahoma" w:eastAsia="Times New Roman" w:cs="Tahoma"/>
      <w:color w:val="auto"/>
      <w:sz w:val="24"/>
      <w:szCs w:val="24"/>
      <w:lang w:val="ru-RU" w:eastAsia="zh-CN" w:bidi="ar-SA"/>
    </w:rPr>
  </w:style>
  <w:style w:type="paragraph" w:styleId="847">
    <w:name w:val="ConsPlusJurTerm"/>
    <w:qFormat/>
    <w:pPr>
      <w:widowControl w:val="off"/>
    </w:pPr>
    <w:rPr>
      <w:rFonts w:ascii="Tahoma" w:hAnsi="Tahoma" w:eastAsia="Times New Roman" w:cs="Tahoma"/>
      <w:color w:val="auto"/>
      <w:sz w:val="26"/>
      <w:szCs w:val="26"/>
      <w:lang w:val="ru-RU" w:eastAsia="zh-CN" w:bidi="ar-SA"/>
    </w:rPr>
  </w:style>
  <w:style w:type="paragraph" w:styleId="848">
    <w:name w:val="ConsPlusTextList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9">
    <w:name w:val="ConsPlusTextList1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50">
    <w:name w:val="Table Contents"/>
    <w:basedOn w:val="833"/>
    <w:qFormat/>
    <w:pPr>
      <w:widowControl w:val="off"/>
      <w:suppressLineNumbers/>
    </w:pPr>
  </w:style>
  <w:style w:type="paragraph" w:styleId="851">
    <w:name w:val="Table Heading"/>
    <w:basedOn w:val="850"/>
    <w:qFormat/>
    <w:pPr>
      <w:jc w:val="center"/>
      <w:suppressLineNumbers/>
    </w:pPr>
    <w:rPr>
      <w:b/>
      <w:bCs/>
    </w:rPr>
  </w:style>
  <w:style w:type="paragraph" w:styleId="852">
    <w:name w:val="Header and Footer"/>
    <w:basedOn w:val="833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853">
    <w:name w:val="Footer"/>
    <w:basedOn w:val="852"/>
    <w:pPr>
      <w:suppressLineNumbers/>
    </w:pPr>
  </w:style>
  <w:style w:type="paragraph" w:styleId="854">
    <w:name w:val="Header"/>
    <w:basedOn w:val="852"/>
    <w:pPr>
      <w:suppressLineNumbers/>
    </w:pPr>
  </w:style>
  <w:style w:type="character" w:styleId="1288" w:default="1">
    <w:name w:val="Default Paragraph Font"/>
    <w:uiPriority w:val="1"/>
    <w:semiHidden/>
    <w:unhideWhenUsed/>
  </w:style>
  <w:style w:type="numbering" w:styleId="1289" w:default="1">
    <w:name w:val="No List"/>
    <w:uiPriority w:val="99"/>
    <w:semiHidden/>
    <w:unhideWhenUsed/>
  </w:style>
  <w:style w:type="table" w:styleId="12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LAW&amp;n=493233&amp;date=20.12.2024&amp;dst=245&amp;field=134" TargetMode="External"/><Relationship Id="rId13" Type="http://schemas.openxmlformats.org/officeDocument/2006/relationships/hyperlink" Target="https://login.consultant.ru/link/?req=doc&amp;base=LAW&amp;n=488439&amp;date=20.12.2024&amp;dst=10&amp;field=134" TargetMode="External"/><Relationship Id="rId14" Type="http://schemas.openxmlformats.org/officeDocument/2006/relationships/hyperlink" Target="https://login.consultant.ru/link/?req=doc&amp;base=LAW&amp;n=458783&amp;date=20.12.2024&amp;dst=2&amp;field=134" TargetMode="External"/><Relationship Id="rId15" Type="http://schemas.openxmlformats.org/officeDocument/2006/relationships/hyperlink" Target="https://login.consultant.ru/link/?req=doc&amp;base=LAW&amp;n=447000&amp;date=20.12.2024&amp;dst=100023&amp;field=134" TargetMode="External"/><Relationship Id="rId16" Type="http://schemas.openxmlformats.org/officeDocument/2006/relationships/hyperlink" Target="https://login.consultant.ru/link/?req=doc&amp;base=LAW&amp;n=447000&amp;date=20.12.2024&amp;dst=100035&amp;field=134" TargetMode="External"/><Relationship Id="rId17" Type="http://schemas.openxmlformats.org/officeDocument/2006/relationships/hyperlink" Target="https://login.consultant.ru/link/?req=doc&amp;base=LAW&amp;n=447000&amp;date=20.12.2024&amp;dst=100275&amp;field=134" TargetMode="External"/><Relationship Id="rId18" Type="http://schemas.openxmlformats.org/officeDocument/2006/relationships/hyperlink" Target="https://login.consultant.ru/link/?req=doc&amp;base=LAW&amp;n=447000&amp;date=20.12.2024&amp;dst=100283&amp;field=134" TargetMode="External"/><Relationship Id="rId19" Type="http://schemas.openxmlformats.org/officeDocument/2006/relationships/hyperlink" Target="https://login.consultant.ru/link/?req=doc&amp;base=LAW&amp;n=447000&amp;date=20.12.2024&amp;dst=100492&amp;field=134" TargetMode="External"/><Relationship Id="rId20" Type="http://schemas.openxmlformats.org/officeDocument/2006/relationships/hyperlink" Target="https://login.consultant.ru/link/?req=doc&amp;base=LAW&amp;n=447000&amp;date=20.12.2024&amp;dst=100276&amp;field=134" TargetMode="External"/><Relationship Id="rId21" Type="http://schemas.openxmlformats.org/officeDocument/2006/relationships/hyperlink" Target="https://login.consultant.ru/link/?req=doc&amp;base=LAW&amp;n=447000&amp;date=20.12.2024&amp;dst=100496&amp;field=134" TargetMode="External"/><Relationship Id="rId22" Type="http://schemas.openxmlformats.org/officeDocument/2006/relationships/hyperlink" Target="https://login.consultant.ru/link/?req=doc&amp;base=LAW&amp;n=475034&amp;date=20.12.2024" TargetMode="External"/><Relationship Id="rId23" Type="http://schemas.openxmlformats.org/officeDocument/2006/relationships/hyperlink" Target="https://login.consultant.ru/link/?req=doc&amp;base=LAW&amp;n=492884&amp;date=20.12.2024&amp;dst=100090&amp;field=134" TargetMode="External"/><Relationship Id="rId24" Type="http://schemas.openxmlformats.org/officeDocument/2006/relationships/hyperlink" Target="https://login.consultant.ru/link/?req=doc&amp;base=LAW&amp;n=475007&amp;date=20.12.2024&amp;dst=100041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788, Рособрнадзора N 2090 от 11.11.2024"Об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</dc:title>
  <dc:subject/>
  <dc:creator>6398</dc:creator>
  <cp:keywords/>
  <dc:description/>
  <dc:language>en-US</dc:language>
  <cp:lastModifiedBy>ГБОУ "СОШ №6 с.п.Экажево"</cp:lastModifiedBy>
  <cp:revision>3</cp:revision>
  <dcterms:created xsi:type="dcterms:W3CDTF">2024-12-20T11:10:00Z</dcterms:created>
  <dcterms:modified xsi:type="dcterms:W3CDTF">2025-02-25T13:23:37Z</dcterms:modified>
</cp:coreProperties>
</file>